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color w:val="0070C0"/>
          <w:spacing w:val="40"/>
          <w:sz w:val="44"/>
          <w:szCs w:val="44"/>
          <w:u w:val="double" w:color="76923C" w:themeColor="accent3" w:themeShade="BF"/>
        </w:rPr>
      </w:pPr>
      <w:r>
        <w:rPr>
          <w:rFonts w:hint="eastAsia" w:ascii="黑体" w:hAnsi="黑体" w:eastAsia="黑体"/>
          <w:b/>
          <w:color w:val="0070C0"/>
          <w:spacing w:val="40"/>
          <w:sz w:val="44"/>
          <w:szCs w:val="44"/>
          <w:u w:val="double" w:color="76923C" w:themeColor="accent3" w:themeShade="BF"/>
        </w:rPr>
        <w:t>咳立停口服液说明书</w:t>
      </w:r>
    </w:p>
    <w:p>
      <w:pPr>
        <w:spacing w:before="156" w:beforeLines="50" w:after="156" w:afterLines="50"/>
        <w:rPr>
          <w:rFonts w:ascii="黑体" w:hAnsi="黑体" w:eastAsia="黑体"/>
          <w:b/>
          <w:sz w:val="18"/>
          <w:szCs w:val="18"/>
        </w:rPr>
      </w:pPr>
      <w:r>
        <w:rPr>
          <w:rFonts w:hint="eastAsia" w:ascii="黑体" w:hAnsi="黑体" w:eastAsia="黑体"/>
          <w:b/>
          <w:sz w:val="18"/>
          <w:szCs w:val="18"/>
        </w:rPr>
        <w:t>请仔细阅读说明书并按照说明使用或在药师指导下购买或使用</w:t>
      </w:r>
    </w:p>
    <w:p>
      <w:pPr>
        <w:spacing w:line="340" w:lineRule="exact"/>
        <w:rPr>
          <w:rFonts w:ascii="黑体" w:hAnsi="黑体" w:eastAsia="黑体"/>
          <w:b/>
          <w:color w:val="0070C0"/>
          <w:sz w:val="18"/>
          <w:szCs w:val="18"/>
        </w:rPr>
      </w:pPr>
      <w:r>
        <w:rPr>
          <w:rFonts w:hint="eastAsia" w:ascii="黑体" w:hAnsi="黑体" w:eastAsia="黑体"/>
          <w:b/>
          <w:color w:val="0070C0"/>
          <w:sz w:val="18"/>
          <w:szCs w:val="18"/>
        </w:rPr>
        <w:t>【药品名称】</w:t>
      </w:r>
    </w:p>
    <w:p>
      <w:pPr>
        <w:spacing w:line="340" w:lineRule="exact"/>
        <w:ind w:firstLine="360" w:firstLineChars="200"/>
        <w:jc w:val="left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>通用名称：咳立停口服液</w:t>
      </w:r>
    </w:p>
    <w:p>
      <w:pPr>
        <w:spacing w:line="340" w:lineRule="exact"/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>汉语拼音：K</w:t>
      </w:r>
      <w:r>
        <w:rPr>
          <w:rFonts w:asciiTheme="minorEastAsia" w:hAnsiTheme="minorEastAsia"/>
          <w:sz w:val="18"/>
          <w:szCs w:val="18"/>
        </w:rPr>
        <w:t>eliting Koufuye</w:t>
      </w:r>
    </w:p>
    <w:p>
      <w:pPr>
        <w:spacing w:line="340" w:lineRule="exact"/>
        <w:ind w:left="1084" w:hanging="1084" w:hangingChars="600"/>
        <w:jc w:val="left"/>
        <w:rPr>
          <w:rFonts w:asciiTheme="minorEastAsia" w:hAnsiTheme="minorEastAsia"/>
          <w:sz w:val="18"/>
          <w:szCs w:val="18"/>
        </w:rPr>
      </w:pPr>
      <w:r>
        <w:rPr>
          <w:rFonts w:hint="eastAsia" w:ascii="黑体" w:hAnsi="黑体" w:eastAsia="黑体"/>
          <w:b/>
          <w:color w:val="0070C0"/>
          <w:sz w:val="18"/>
          <w:szCs w:val="18"/>
        </w:rPr>
        <w:t>【成    分】</w:t>
      </w:r>
      <w:r>
        <w:rPr>
          <w:rFonts w:hint="eastAsia" w:asciiTheme="minorEastAsia" w:hAnsiTheme="minorEastAsia"/>
          <w:sz w:val="18"/>
          <w:szCs w:val="18"/>
        </w:rPr>
        <w:t>三叉苦、金</w:t>
      </w:r>
      <w:r>
        <w:rPr>
          <w:rFonts w:hint="eastAsia" w:asciiTheme="minorEastAsia" w:hAnsiTheme="minorEastAsia"/>
          <w:sz w:val="18"/>
          <w:szCs w:val="18"/>
          <w:lang w:val="en-US" w:eastAsia="zh-CN"/>
        </w:rPr>
        <w:t>盏</w:t>
      </w:r>
      <w:r>
        <w:rPr>
          <w:rFonts w:hint="eastAsia" w:asciiTheme="minorEastAsia" w:hAnsiTheme="minorEastAsia"/>
          <w:sz w:val="18"/>
          <w:szCs w:val="18"/>
        </w:rPr>
        <w:t>银盘、野菊花、岗梅、咖啡因、对乙酰氨基酚、马来酸氯苯那敏、薄荷油。辅料为蔗糖粉。</w:t>
      </w:r>
    </w:p>
    <w:p>
      <w:pPr>
        <w:spacing w:line="340" w:lineRule="exact"/>
        <w:rPr>
          <w:rFonts w:asciiTheme="minorEastAsia" w:hAnsiTheme="minorEastAsia"/>
          <w:sz w:val="18"/>
          <w:szCs w:val="18"/>
        </w:rPr>
      </w:pPr>
      <w:r>
        <w:rPr>
          <w:rFonts w:hint="eastAsia" w:ascii="黑体" w:hAnsi="黑体" w:eastAsia="黑体"/>
          <w:b/>
          <w:color w:val="0070C0"/>
          <w:sz w:val="18"/>
          <w:szCs w:val="18"/>
        </w:rPr>
        <w:t>【性    状】</w:t>
      </w:r>
      <w:r>
        <w:rPr>
          <w:rFonts w:hint="eastAsia" w:asciiTheme="minorEastAsia" w:hAnsiTheme="minorEastAsia"/>
          <w:sz w:val="18"/>
          <w:szCs w:val="18"/>
        </w:rPr>
        <w:t>本品为浅棕色至深棕色颗粒：味甜、微苦。</w:t>
      </w:r>
    </w:p>
    <w:p>
      <w:pPr>
        <w:spacing w:line="340" w:lineRule="exact"/>
        <w:rPr>
          <w:rFonts w:asciiTheme="minorEastAsia" w:hAnsiTheme="minorEastAsia"/>
          <w:sz w:val="18"/>
          <w:szCs w:val="18"/>
        </w:rPr>
      </w:pPr>
      <w:r>
        <w:rPr>
          <w:rFonts w:hint="eastAsia" w:ascii="黑体" w:hAnsi="黑体" w:eastAsia="黑体"/>
          <w:b/>
          <w:color w:val="0070C0"/>
          <w:sz w:val="18"/>
          <w:szCs w:val="18"/>
        </w:rPr>
        <w:t>【功能主治】</w:t>
      </w:r>
      <w:r>
        <w:rPr>
          <w:rFonts w:hint="eastAsia" w:asciiTheme="minorEastAsia" w:hAnsiTheme="minorEastAsia"/>
          <w:sz w:val="18"/>
          <w:szCs w:val="18"/>
        </w:rPr>
        <w:t>解热镇痛。用于感冒引起的咳嗽、鼻塞、流涕、咽痛。</w:t>
      </w:r>
    </w:p>
    <w:p>
      <w:pPr>
        <w:spacing w:line="340" w:lineRule="exact"/>
        <w:rPr>
          <w:rFonts w:asciiTheme="minorEastAsia" w:hAnsiTheme="minorEastAsia"/>
          <w:sz w:val="18"/>
          <w:szCs w:val="18"/>
        </w:rPr>
      </w:pPr>
      <w:r>
        <w:rPr>
          <w:rFonts w:hint="eastAsia" w:ascii="黑体" w:hAnsi="黑体" w:eastAsia="黑体"/>
          <w:b/>
          <w:color w:val="0070C0"/>
          <w:sz w:val="18"/>
          <w:szCs w:val="18"/>
        </w:rPr>
        <w:t>【规    格】</w:t>
      </w:r>
      <w:r>
        <w:rPr>
          <w:rFonts w:hint="eastAsia" w:asciiTheme="minorEastAsia" w:hAnsiTheme="minorEastAsia"/>
          <w:sz w:val="18"/>
          <w:szCs w:val="18"/>
        </w:rPr>
        <w:t>每袋重10克（对乙酰氨基酚0.2克）。</w:t>
      </w:r>
    </w:p>
    <w:p>
      <w:pPr>
        <w:spacing w:line="340" w:lineRule="exact"/>
        <w:rPr>
          <w:rFonts w:asciiTheme="minorEastAsia" w:hAnsiTheme="minorEastAsia"/>
          <w:sz w:val="18"/>
          <w:szCs w:val="18"/>
        </w:rPr>
      </w:pPr>
      <w:r>
        <w:rPr>
          <w:rFonts w:hint="eastAsia" w:ascii="黑体" w:hAnsi="黑体" w:eastAsia="黑体"/>
          <w:b/>
          <w:color w:val="0070C0"/>
          <w:sz w:val="18"/>
          <w:szCs w:val="18"/>
        </w:rPr>
        <w:t>【用法用量】</w:t>
      </w:r>
      <w:r>
        <w:rPr>
          <w:rFonts w:hint="eastAsia" w:asciiTheme="minorEastAsia" w:hAnsiTheme="minorEastAsia"/>
          <w:sz w:val="18"/>
          <w:szCs w:val="18"/>
        </w:rPr>
        <w:t>开水冲服，一次10克（1袋），一日3次。</w:t>
      </w:r>
    </w:p>
    <w:p>
      <w:pPr>
        <w:spacing w:line="340" w:lineRule="exact"/>
        <w:ind w:left="1084" w:hanging="1084" w:hangingChars="600"/>
        <w:jc w:val="left"/>
        <w:rPr>
          <w:rFonts w:asciiTheme="minorEastAsia" w:hAnsiTheme="minorEastAsia"/>
          <w:sz w:val="18"/>
          <w:szCs w:val="18"/>
        </w:rPr>
      </w:pPr>
      <w:r>
        <w:rPr>
          <w:rFonts w:hint="eastAsia" w:ascii="黑体" w:hAnsi="黑体" w:eastAsia="黑体"/>
          <w:b/>
          <w:color w:val="0070C0"/>
          <w:sz w:val="18"/>
          <w:szCs w:val="18"/>
        </w:rPr>
        <w:t>【不良反应】</w:t>
      </w:r>
      <w:r>
        <w:rPr>
          <w:rFonts w:hint="eastAsia" w:asciiTheme="minorEastAsia" w:hAnsiTheme="minorEastAsia"/>
          <w:sz w:val="18"/>
          <w:szCs w:val="18"/>
        </w:rPr>
        <w:t>偶见皮疹、荨麻疹、药热及粒细胞减少；可见困倦、嗜睡、口渴、虚弱感；长期大量用药会导致肝肾功能异常。</w:t>
      </w:r>
    </w:p>
    <w:p>
      <w:pPr>
        <w:spacing w:line="340" w:lineRule="exact"/>
        <w:rPr>
          <w:rFonts w:asciiTheme="minorEastAsia" w:hAnsiTheme="minorEastAsia"/>
          <w:sz w:val="18"/>
          <w:szCs w:val="18"/>
        </w:rPr>
      </w:pPr>
      <w:r>
        <w:rPr>
          <w:rFonts w:hint="eastAsia" w:ascii="黑体" w:hAnsi="黑体" w:eastAsia="黑体"/>
          <w:b/>
          <w:color w:val="0070C0"/>
          <w:sz w:val="18"/>
          <w:szCs w:val="18"/>
        </w:rPr>
        <w:t>【禁    忌】</w:t>
      </w:r>
      <w:r>
        <w:rPr>
          <w:rFonts w:hint="eastAsia" w:asciiTheme="minorEastAsia" w:hAnsiTheme="minorEastAsia"/>
          <w:sz w:val="18"/>
          <w:szCs w:val="18"/>
          <w:em w:val="dot"/>
        </w:rPr>
        <w:t>严重肝肾功能不全者禁用</w:t>
      </w:r>
      <w:r>
        <w:rPr>
          <w:rFonts w:hint="eastAsia" w:asciiTheme="minorEastAsia" w:hAnsiTheme="minorEastAsia"/>
          <w:sz w:val="18"/>
          <w:szCs w:val="18"/>
        </w:rPr>
        <w:t>。</w:t>
      </w:r>
    </w:p>
    <w:p>
      <w:pPr>
        <w:spacing w:line="340" w:lineRule="exact"/>
        <w:rPr>
          <w:rFonts w:ascii="黑体" w:hAnsi="黑体" w:eastAsia="黑体"/>
          <w:b/>
          <w:color w:val="0070C0"/>
          <w:sz w:val="18"/>
          <w:szCs w:val="18"/>
        </w:rPr>
      </w:pPr>
      <w:r>
        <w:rPr>
          <w:rFonts w:hint="eastAsia" w:ascii="黑体" w:hAnsi="黑体" w:eastAsia="黑体"/>
          <w:b/>
          <w:color w:val="0070C0"/>
          <w:sz w:val="18"/>
          <w:szCs w:val="18"/>
        </w:rPr>
        <w:t>【注意事项】</w:t>
      </w:r>
    </w:p>
    <w:p>
      <w:pPr>
        <w:pStyle w:val="7"/>
        <w:numPr>
          <w:ilvl w:val="0"/>
          <w:numId w:val="1"/>
        </w:numPr>
        <w:adjustRightInd w:val="0"/>
        <w:snapToGrid w:val="0"/>
        <w:spacing w:line="340" w:lineRule="exact"/>
        <w:ind w:firstLineChars="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>忌烟、酒及辛辣、生冷、油腻食物。</w:t>
      </w:r>
    </w:p>
    <w:p>
      <w:pPr>
        <w:pStyle w:val="7"/>
        <w:numPr>
          <w:ilvl w:val="0"/>
          <w:numId w:val="1"/>
        </w:numPr>
        <w:adjustRightInd w:val="0"/>
        <w:snapToGrid w:val="0"/>
        <w:spacing w:line="340" w:lineRule="exact"/>
        <w:ind w:firstLineChars="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>不宜在服药期间同时服用滋补性中成药。</w:t>
      </w:r>
    </w:p>
    <w:p>
      <w:pPr>
        <w:pStyle w:val="7"/>
        <w:numPr>
          <w:ilvl w:val="0"/>
          <w:numId w:val="1"/>
        </w:numPr>
        <w:adjustRightInd w:val="0"/>
        <w:snapToGrid w:val="0"/>
        <w:spacing w:line="340" w:lineRule="exact"/>
        <w:ind w:firstLineChars="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>脾胃虚寒，症见腹痛、喜暖、泄泻者慎用。</w:t>
      </w:r>
    </w:p>
    <w:p>
      <w:pPr>
        <w:pStyle w:val="7"/>
        <w:numPr>
          <w:ilvl w:val="0"/>
          <w:numId w:val="1"/>
        </w:numPr>
        <w:adjustRightInd w:val="0"/>
        <w:snapToGrid w:val="0"/>
        <w:spacing w:line="340" w:lineRule="exact"/>
        <w:ind w:firstLineChars="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>糖尿病患者及有心脏病等慢性病严重者应在医师指导下服用。</w:t>
      </w:r>
    </w:p>
    <w:p>
      <w:pPr>
        <w:pStyle w:val="7"/>
        <w:numPr>
          <w:ilvl w:val="0"/>
          <w:numId w:val="1"/>
        </w:numPr>
        <w:adjustRightInd w:val="0"/>
        <w:snapToGrid w:val="0"/>
        <w:spacing w:line="340" w:lineRule="exact"/>
        <w:ind w:firstLineChars="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>儿童、年老体弱者应在医师指导下服用。</w:t>
      </w:r>
    </w:p>
    <w:p>
      <w:pPr>
        <w:pStyle w:val="7"/>
        <w:numPr>
          <w:ilvl w:val="0"/>
          <w:numId w:val="1"/>
        </w:numPr>
        <w:adjustRightInd w:val="0"/>
        <w:snapToGrid w:val="0"/>
        <w:spacing w:line="340" w:lineRule="exact"/>
        <w:ind w:firstLineChars="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>对本品过敏者禁用，过敏体质者慎用。</w:t>
      </w:r>
    </w:p>
    <w:p>
      <w:pPr>
        <w:pStyle w:val="7"/>
        <w:numPr>
          <w:ilvl w:val="0"/>
          <w:numId w:val="1"/>
        </w:numPr>
        <w:adjustRightInd w:val="0"/>
        <w:snapToGrid w:val="0"/>
        <w:spacing w:line="340" w:lineRule="exact"/>
        <w:ind w:firstLineChars="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>本品性状发生改变时禁止使用。</w:t>
      </w:r>
    </w:p>
    <w:p>
      <w:pPr>
        <w:pStyle w:val="7"/>
        <w:numPr>
          <w:ilvl w:val="0"/>
          <w:numId w:val="1"/>
        </w:numPr>
        <w:adjustRightInd w:val="0"/>
        <w:snapToGrid w:val="0"/>
        <w:spacing w:line="340" w:lineRule="exact"/>
        <w:ind w:firstLineChars="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>儿童必须在成人监护下使用。</w:t>
      </w:r>
    </w:p>
    <w:p>
      <w:pPr>
        <w:pStyle w:val="7"/>
        <w:numPr>
          <w:ilvl w:val="0"/>
          <w:numId w:val="1"/>
        </w:numPr>
        <w:adjustRightInd w:val="0"/>
        <w:snapToGrid w:val="0"/>
        <w:spacing w:line="340" w:lineRule="exact"/>
        <w:ind w:firstLineChars="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>请将本品放在儿童不能接触的地方。</w:t>
      </w:r>
    </w:p>
    <w:p>
      <w:pPr>
        <w:pStyle w:val="7"/>
        <w:numPr>
          <w:ilvl w:val="0"/>
          <w:numId w:val="1"/>
        </w:numPr>
        <w:adjustRightInd w:val="0"/>
        <w:snapToGrid w:val="0"/>
        <w:spacing w:line="340" w:lineRule="exact"/>
        <w:ind w:firstLineChars="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>如正在使用其它药品，使用本品前请咨询医师或药师。</w:t>
      </w:r>
    </w:p>
    <w:p>
      <w:pPr>
        <w:spacing w:line="340" w:lineRule="exact"/>
        <w:rPr>
          <w:rFonts w:ascii="黑体" w:hAnsi="黑体" w:eastAsia="黑体"/>
          <w:b/>
          <w:color w:val="0070C0"/>
          <w:sz w:val="18"/>
          <w:szCs w:val="18"/>
        </w:rPr>
      </w:pPr>
      <w:r>
        <w:rPr>
          <w:rFonts w:hint="eastAsia" w:ascii="黑体" w:hAnsi="黑体" w:eastAsia="黑体"/>
          <w:b/>
          <w:color w:val="0070C0"/>
          <w:sz w:val="18"/>
          <w:szCs w:val="18"/>
        </w:rPr>
        <w:t>【药物相互作用】</w:t>
      </w:r>
    </w:p>
    <w:p>
      <w:pPr>
        <w:pStyle w:val="7"/>
        <w:numPr>
          <w:ilvl w:val="0"/>
          <w:numId w:val="2"/>
        </w:numPr>
        <w:adjustRightInd w:val="0"/>
        <w:snapToGrid w:val="0"/>
        <w:spacing w:line="340" w:lineRule="exact"/>
        <w:ind w:firstLineChars="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>与其它解热镇痛药并用，有增加肾毒性的危险。</w:t>
      </w:r>
    </w:p>
    <w:p>
      <w:pPr>
        <w:pStyle w:val="7"/>
        <w:numPr>
          <w:ilvl w:val="0"/>
          <w:numId w:val="2"/>
        </w:numPr>
        <w:adjustRightInd w:val="0"/>
        <w:snapToGrid w:val="0"/>
        <w:spacing w:line="340" w:lineRule="exact"/>
        <w:ind w:firstLineChars="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>与其它药物同时使用可能会发生药物相互作用，详情请咨询医师或药师。</w:t>
      </w:r>
      <w:bookmarkStart w:id="0" w:name="_GoBack"/>
      <w:bookmarkEnd w:id="0"/>
    </w:p>
    <w:p>
      <w:pPr>
        <w:spacing w:line="340" w:lineRule="exact"/>
        <w:rPr>
          <w:rFonts w:asciiTheme="minorEastAsia" w:hAnsiTheme="minorEastAsia"/>
          <w:sz w:val="18"/>
          <w:szCs w:val="18"/>
        </w:rPr>
      </w:pPr>
      <w:r>
        <w:rPr>
          <w:rFonts w:hint="eastAsia" w:ascii="黑体" w:hAnsi="黑体" w:eastAsia="黑体"/>
          <w:b/>
          <w:color w:val="0070C0"/>
          <w:sz w:val="18"/>
          <w:szCs w:val="18"/>
        </w:rPr>
        <w:t>【储    藏】</w:t>
      </w:r>
      <w:r>
        <w:rPr>
          <w:rFonts w:hint="eastAsia" w:asciiTheme="minorEastAsia" w:hAnsiTheme="minorEastAsia"/>
          <w:sz w:val="18"/>
          <w:szCs w:val="18"/>
        </w:rPr>
        <w:t>密封。</w:t>
      </w:r>
    </w:p>
    <w:p>
      <w:pPr>
        <w:spacing w:line="340" w:lineRule="exact"/>
        <w:rPr>
          <w:rFonts w:asciiTheme="minorEastAsia" w:hAnsiTheme="minorEastAsia"/>
          <w:sz w:val="18"/>
          <w:szCs w:val="18"/>
        </w:rPr>
      </w:pPr>
      <w:r>
        <w:rPr>
          <w:rFonts w:hint="eastAsia" w:ascii="黑体" w:hAnsi="黑体" w:eastAsia="黑体"/>
          <w:b/>
          <w:color w:val="0070C0"/>
          <w:sz w:val="18"/>
          <w:szCs w:val="18"/>
        </w:rPr>
        <w:t>【包    装】</w:t>
      </w:r>
      <w:r>
        <w:rPr>
          <w:rFonts w:hint="eastAsia" w:asciiTheme="minorEastAsia" w:hAnsiTheme="minorEastAsia"/>
          <w:sz w:val="18"/>
          <w:szCs w:val="18"/>
        </w:rPr>
        <w:t>玻璃瓶装，每盒10瓶。</w:t>
      </w:r>
    </w:p>
    <w:p>
      <w:pPr>
        <w:spacing w:line="340" w:lineRule="exact"/>
        <w:rPr>
          <w:rFonts w:asciiTheme="minorEastAsia" w:hAnsiTheme="minorEastAsia"/>
          <w:sz w:val="18"/>
          <w:szCs w:val="18"/>
        </w:rPr>
      </w:pPr>
      <w:r>
        <w:rPr>
          <w:rFonts w:hint="eastAsia" w:ascii="黑体" w:hAnsi="黑体" w:eastAsia="黑体"/>
          <w:b/>
          <w:color w:val="0070C0"/>
          <w:sz w:val="18"/>
          <w:szCs w:val="18"/>
        </w:rPr>
        <w:t>【有 效 期】</w:t>
      </w:r>
      <w:r>
        <w:rPr>
          <w:rFonts w:hint="eastAsia" w:asciiTheme="minorEastAsia" w:hAnsiTheme="minorEastAsia"/>
          <w:sz w:val="18"/>
          <w:szCs w:val="18"/>
        </w:rPr>
        <w:t>24个月。</w:t>
      </w:r>
    </w:p>
    <w:p>
      <w:pPr>
        <w:spacing w:line="340" w:lineRule="exact"/>
        <w:rPr>
          <w:rFonts w:asciiTheme="minorEastAsia" w:hAnsiTheme="minorEastAsia"/>
          <w:sz w:val="18"/>
          <w:szCs w:val="18"/>
        </w:rPr>
      </w:pPr>
      <w:r>
        <w:rPr>
          <w:rFonts w:hint="eastAsia" w:ascii="黑体" w:hAnsi="黑体" w:eastAsia="黑体"/>
          <w:b/>
          <w:color w:val="0070C0"/>
          <w:sz w:val="18"/>
          <w:szCs w:val="18"/>
        </w:rPr>
        <w:t>【执行标准】</w:t>
      </w:r>
      <w:r>
        <w:rPr>
          <w:rFonts w:hint="eastAsia" w:asciiTheme="minorEastAsia" w:hAnsiTheme="minorEastAsia"/>
          <w:sz w:val="18"/>
          <w:szCs w:val="18"/>
        </w:rPr>
        <w:t>国家药典委员会药典业发（1998）第115号文件所附质量标准。</w:t>
      </w:r>
    </w:p>
    <w:p>
      <w:pPr>
        <w:spacing w:line="340" w:lineRule="exact"/>
        <w:rPr>
          <w:rFonts w:asciiTheme="minorEastAsia" w:hAnsiTheme="minorEastAsia"/>
          <w:sz w:val="18"/>
          <w:szCs w:val="18"/>
        </w:rPr>
      </w:pPr>
      <w:r>
        <w:rPr>
          <w:rFonts w:hint="eastAsia" w:ascii="黑体" w:hAnsi="黑体" w:eastAsia="黑体"/>
          <w:b/>
          <w:color w:val="0070C0"/>
          <w:sz w:val="18"/>
          <w:szCs w:val="18"/>
        </w:rPr>
        <w:t>【批准文号】</w:t>
      </w:r>
      <w:r>
        <w:rPr>
          <w:rFonts w:hint="eastAsia" w:asciiTheme="minorEastAsia" w:hAnsiTheme="minorEastAsia"/>
          <w:sz w:val="18"/>
          <w:szCs w:val="18"/>
        </w:rPr>
        <w:t>国家药准字Z44032908</w:t>
      </w:r>
    </w:p>
    <w:p>
      <w:pPr>
        <w:spacing w:line="340" w:lineRule="exact"/>
        <w:rPr>
          <w:rFonts w:asciiTheme="minorEastAsia" w:hAnsiTheme="minorEastAsia"/>
          <w:sz w:val="18"/>
          <w:szCs w:val="18"/>
        </w:rPr>
      </w:pPr>
      <w:r>
        <w:rPr>
          <w:rFonts w:hint="eastAsia" w:ascii="黑体" w:hAnsi="黑体" w:eastAsia="黑体"/>
          <w:b/>
          <w:color w:val="0070C0"/>
          <w:sz w:val="18"/>
          <w:szCs w:val="18"/>
        </w:rPr>
        <w:t>【说明书修订日期】</w:t>
      </w:r>
      <w:r>
        <w:rPr>
          <w:rFonts w:hint="eastAsia" w:asciiTheme="minorEastAsia" w:hAnsiTheme="minorEastAsia"/>
          <w:sz w:val="18"/>
          <w:szCs w:val="18"/>
        </w:rPr>
        <w:t>20</w:t>
      </w:r>
      <w:r>
        <w:rPr>
          <w:rFonts w:asciiTheme="minorEastAsia" w:hAnsiTheme="minorEastAsia"/>
          <w:sz w:val="18"/>
          <w:szCs w:val="18"/>
        </w:rPr>
        <w:t>2</w:t>
      </w:r>
      <w:r>
        <w:rPr>
          <w:rFonts w:hint="eastAsia" w:asciiTheme="minorEastAsia" w:hAnsiTheme="minorEastAsia"/>
          <w:sz w:val="18"/>
          <w:szCs w:val="18"/>
          <w:lang w:val="en-US" w:eastAsia="zh-CN"/>
        </w:rPr>
        <w:t>5</w:t>
      </w:r>
      <w:r>
        <w:rPr>
          <w:rFonts w:hint="eastAsia" w:asciiTheme="minorEastAsia" w:hAnsiTheme="minorEastAsia"/>
          <w:sz w:val="18"/>
          <w:szCs w:val="18"/>
        </w:rPr>
        <w:t>年0</w:t>
      </w:r>
      <w:r>
        <w:rPr>
          <w:rFonts w:asciiTheme="minorEastAsia" w:hAnsiTheme="minorEastAsia"/>
          <w:sz w:val="18"/>
          <w:szCs w:val="18"/>
        </w:rPr>
        <w:t>1</w:t>
      </w:r>
      <w:r>
        <w:rPr>
          <w:rFonts w:hint="eastAsia" w:asciiTheme="minorEastAsia" w:hAnsiTheme="minorEastAsia"/>
          <w:sz w:val="18"/>
          <w:szCs w:val="18"/>
        </w:rPr>
        <w:t>月15日</w:t>
      </w:r>
    </w:p>
    <w:p>
      <w:pPr>
        <w:spacing w:line="340" w:lineRule="exact"/>
        <w:rPr>
          <w:rFonts w:ascii="黑体" w:hAnsi="黑体" w:eastAsia="黑体"/>
          <w:b/>
          <w:color w:val="0070C0"/>
          <w:sz w:val="18"/>
          <w:szCs w:val="18"/>
        </w:rPr>
      </w:pPr>
      <w:r>
        <w:rPr>
          <w:rFonts w:hint="eastAsia" w:ascii="黑体" w:hAnsi="黑体" w:eastAsia="黑体"/>
          <w:b/>
          <w:color w:val="0070C0"/>
          <w:sz w:val="18"/>
          <w:szCs w:val="18"/>
        </w:rPr>
        <w:t>【生产企业】</w:t>
      </w:r>
    </w:p>
    <w:p>
      <w:pPr>
        <w:spacing w:line="340" w:lineRule="exact"/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>生产企业：长安康复医药股份有限公司</w:t>
      </w:r>
    </w:p>
    <w:p>
      <w:pPr>
        <w:spacing w:line="340" w:lineRule="exact"/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>生产地址：××××××××                             电话号码：××××××××</w:t>
      </w:r>
    </w:p>
    <w:p>
      <w:pPr>
        <w:spacing w:line="340" w:lineRule="exact"/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128270</wp:posOffset>
                </wp:positionV>
                <wp:extent cx="5229225" cy="9525"/>
                <wp:effectExtent l="0" t="0" r="28575" b="2921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29225" cy="9288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0070C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top:10.1pt;height:0.75pt;width:411.75pt;mso-position-horizontal:left;mso-position-horizontal-relative:margin;z-index:251659264;mso-width-relative:page;mso-height-relative:page;" filled="f" stroked="t" coordsize="21600,21600" o:gfxdata="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PEwzevZAAAABgEAAA8AAAAAAAAAAQAgAAAAIgAAAGRycy9kb3ducmV2Lnht&#10;bFBLAQIUABQAAAAIAIdO4kAzibSFvwEAAE8DAAAOAAAAAAAAAAEAIAAAACgBAABkcnMvZTJvRG9j&#10;LnhtbFBLBQYAAAAABgAGAFkBAABZBQAAAAA=&#10;">
                <v:fill on="f" focussize="0,0"/>
                <v:stroke color="#0070C0 [3204]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 xml:space="preserve">如有问题可与生产企业联系                              </w:t>
      </w:r>
      <w:r>
        <w:rPr>
          <w:rFonts w:asciiTheme="minorEastAsia" w:hAnsiTheme="minorEastAsia"/>
          <w:sz w:val="18"/>
          <w:szCs w:val="18"/>
        </w:rPr>
        <w:t xml:space="preserve"> </w:t>
      </w:r>
      <w:r>
        <w:rPr>
          <w:rFonts w:hint="eastAsia" w:asciiTheme="minorEastAsia" w:hAnsiTheme="minorEastAsia"/>
          <w:sz w:val="18"/>
          <w:szCs w:val="18"/>
        </w:rPr>
        <w:t>客服热线：××××××××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6720"/>
    <w:multiLevelType w:val="multilevel"/>
    <w:tmpl w:val="019F6720"/>
    <w:lvl w:ilvl="0" w:tentative="0">
      <w:start w:val="1"/>
      <w:numFmt w:val="decimal"/>
      <w:lvlText w:val="%1."/>
      <w:lvlJc w:val="left"/>
      <w:pPr>
        <w:ind w:left="1500" w:hanging="420"/>
      </w:pPr>
    </w:lvl>
    <w:lvl w:ilvl="1" w:tentative="0">
      <w:start w:val="1"/>
      <w:numFmt w:val="lowerLetter"/>
      <w:lvlText w:val="%2)"/>
      <w:lvlJc w:val="left"/>
      <w:pPr>
        <w:ind w:left="1920" w:hanging="420"/>
      </w:pPr>
    </w:lvl>
    <w:lvl w:ilvl="2" w:tentative="0">
      <w:start w:val="1"/>
      <w:numFmt w:val="lowerRoman"/>
      <w:lvlText w:val="%3."/>
      <w:lvlJc w:val="right"/>
      <w:pPr>
        <w:ind w:left="2340" w:hanging="420"/>
      </w:pPr>
    </w:lvl>
    <w:lvl w:ilvl="3" w:tentative="0">
      <w:start w:val="1"/>
      <w:numFmt w:val="decimal"/>
      <w:lvlText w:val="%4."/>
      <w:lvlJc w:val="left"/>
      <w:pPr>
        <w:ind w:left="2760" w:hanging="420"/>
      </w:pPr>
    </w:lvl>
    <w:lvl w:ilvl="4" w:tentative="0">
      <w:start w:val="1"/>
      <w:numFmt w:val="lowerLetter"/>
      <w:lvlText w:val="%5)"/>
      <w:lvlJc w:val="left"/>
      <w:pPr>
        <w:ind w:left="3180" w:hanging="420"/>
      </w:pPr>
    </w:lvl>
    <w:lvl w:ilvl="5" w:tentative="0">
      <w:start w:val="1"/>
      <w:numFmt w:val="lowerRoman"/>
      <w:lvlText w:val="%6."/>
      <w:lvlJc w:val="right"/>
      <w:pPr>
        <w:ind w:left="3600" w:hanging="420"/>
      </w:pPr>
    </w:lvl>
    <w:lvl w:ilvl="6" w:tentative="0">
      <w:start w:val="1"/>
      <w:numFmt w:val="decimal"/>
      <w:lvlText w:val="%7."/>
      <w:lvlJc w:val="left"/>
      <w:pPr>
        <w:ind w:left="4020" w:hanging="420"/>
      </w:pPr>
    </w:lvl>
    <w:lvl w:ilvl="7" w:tentative="0">
      <w:start w:val="1"/>
      <w:numFmt w:val="lowerLetter"/>
      <w:lvlText w:val="%8)"/>
      <w:lvlJc w:val="left"/>
      <w:pPr>
        <w:ind w:left="4440" w:hanging="420"/>
      </w:pPr>
    </w:lvl>
    <w:lvl w:ilvl="8" w:tentative="0">
      <w:start w:val="1"/>
      <w:numFmt w:val="lowerRoman"/>
      <w:lvlText w:val="%9."/>
      <w:lvlJc w:val="right"/>
      <w:pPr>
        <w:ind w:left="4860" w:hanging="420"/>
      </w:pPr>
    </w:lvl>
  </w:abstractNum>
  <w:abstractNum w:abstractNumId="1">
    <w:nsid w:val="22F2698F"/>
    <w:multiLevelType w:val="multilevel"/>
    <w:tmpl w:val="22F2698F"/>
    <w:lvl w:ilvl="0" w:tentative="0">
      <w:start w:val="1"/>
      <w:numFmt w:val="decimal"/>
      <w:lvlText w:val="%1."/>
      <w:lvlJc w:val="left"/>
      <w:pPr>
        <w:ind w:left="1500" w:hanging="420"/>
      </w:pPr>
    </w:lvl>
    <w:lvl w:ilvl="1" w:tentative="0">
      <w:start w:val="1"/>
      <w:numFmt w:val="lowerLetter"/>
      <w:lvlText w:val="%2)"/>
      <w:lvlJc w:val="left"/>
      <w:pPr>
        <w:ind w:left="1920" w:hanging="420"/>
      </w:pPr>
    </w:lvl>
    <w:lvl w:ilvl="2" w:tentative="0">
      <w:start w:val="1"/>
      <w:numFmt w:val="lowerRoman"/>
      <w:lvlText w:val="%3."/>
      <w:lvlJc w:val="right"/>
      <w:pPr>
        <w:ind w:left="2340" w:hanging="420"/>
      </w:pPr>
    </w:lvl>
    <w:lvl w:ilvl="3" w:tentative="0">
      <w:start w:val="1"/>
      <w:numFmt w:val="decimal"/>
      <w:lvlText w:val="%4."/>
      <w:lvlJc w:val="left"/>
      <w:pPr>
        <w:ind w:left="2760" w:hanging="420"/>
      </w:pPr>
    </w:lvl>
    <w:lvl w:ilvl="4" w:tentative="0">
      <w:start w:val="1"/>
      <w:numFmt w:val="lowerLetter"/>
      <w:lvlText w:val="%5)"/>
      <w:lvlJc w:val="left"/>
      <w:pPr>
        <w:ind w:left="3180" w:hanging="420"/>
      </w:pPr>
    </w:lvl>
    <w:lvl w:ilvl="5" w:tentative="0">
      <w:start w:val="1"/>
      <w:numFmt w:val="lowerRoman"/>
      <w:lvlText w:val="%6."/>
      <w:lvlJc w:val="right"/>
      <w:pPr>
        <w:ind w:left="3600" w:hanging="420"/>
      </w:pPr>
    </w:lvl>
    <w:lvl w:ilvl="6" w:tentative="0">
      <w:start w:val="1"/>
      <w:numFmt w:val="decimal"/>
      <w:lvlText w:val="%7."/>
      <w:lvlJc w:val="left"/>
      <w:pPr>
        <w:ind w:left="4020" w:hanging="420"/>
      </w:pPr>
    </w:lvl>
    <w:lvl w:ilvl="7" w:tentative="0">
      <w:start w:val="1"/>
      <w:numFmt w:val="lowerLetter"/>
      <w:lvlText w:val="%8)"/>
      <w:lvlJc w:val="left"/>
      <w:pPr>
        <w:ind w:left="4440" w:hanging="420"/>
      </w:pPr>
    </w:lvl>
    <w:lvl w:ilvl="8" w:tentative="0">
      <w:start w:val="1"/>
      <w:numFmt w:val="lowerRoman"/>
      <w:lvlText w:val="%9."/>
      <w:lvlJc w:val="right"/>
      <w:pPr>
        <w:ind w:left="48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E1E"/>
    <w:rsid w:val="0007471F"/>
    <w:rsid w:val="00092373"/>
    <w:rsid w:val="000C05BE"/>
    <w:rsid w:val="001E7D5B"/>
    <w:rsid w:val="00233A04"/>
    <w:rsid w:val="002765F1"/>
    <w:rsid w:val="00292FAE"/>
    <w:rsid w:val="003101DD"/>
    <w:rsid w:val="003935CE"/>
    <w:rsid w:val="004C4201"/>
    <w:rsid w:val="005877BB"/>
    <w:rsid w:val="005A20CF"/>
    <w:rsid w:val="005A42E5"/>
    <w:rsid w:val="005F7BF0"/>
    <w:rsid w:val="00603687"/>
    <w:rsid w:val="006533A6"/>
    <w:rsid w:val="00716BE8"/>
    <w:rsid w:val="00723901"/>
    <w:rsid w:val="00732EC2"/>
    <w:rsid w:val="00855063"/>
    <w:rsid w:val="00873529"/>
    <w:rsid w:val="008D7D0E"/>
    <w:rsid w:val="008F7392"/>
    <w:rsid w:val="009B5F89"/>
    <w:rsid w:val="009D7D3A"/>
    <w:rsid w:val="00A372FA"/>
    <w:rsid w:val="00A562EB"/>
    <w:rsid w:val="00B02D09"/>
    <w:rsid w:val="00BB231E"/>
    <w:rsid w:val="00C403A1"/>
    <w:rsid w:val="00C719D0"/>
    <w:rsid w:val="00D65B2A"/>
    <w:rsid w:val="00D9139F"/>
    <w:rsid w:val="00D9399A"/>
    <w:rsid w:val="00DA5F6E"/>
    <w:rsid w:val="00DE5E82"/>
    <w:rsid w:val="00E03520"/>
    <w:rsid w:val="00E30E1E"/>
    <w:rsid w:val="00E449B7"/>
    <w:rsid w:val="00E50BBA"/>
    <w:rsid w:val="00E67F5F"/>
    <w:rsid w:val="00F117DF"/>
    <w:rsid w:val="00F731D5"/>
    <w:rsid w:val="00FE2170"/>
    <w:rsid w:val="08BB083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127</Words>
  <Characters>726</Characters>
  <Lines>6</Lines>
  <Paragraphs>1</Paragraphs>
  <TotalTime>33</TotalTime>
  <ScaleCrop>false</ScaleCrop>
  <LinksUpToDate>false</LinksUpToDate>
  <CharactersWithSpaces>852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2021-02-08T12:51:00Z</dcterms:created>
  <dc:creator>yangmingyu</dc:creator>
  <cp:lastModifiedBy>lhy</cp:lastModifiedBy>
  <dcterms:modified xsi:type="dcterms:W3CDTF">2025-08-25T09:27:45Z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</Properties>
</file>